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Mélangeur de douche</w:t>
      </w:r>
    </w:p>
    <w:p>
      <w:pPr/>
      <w:r>
        <w:rPr>
          <w:rFonts w:ascii="Calibri" w:hAnsi="Calibri" w:eastAsia="Calibri" w:cs="Calibri"/>
          <w:sz w:val="22"/>
          <w:szCs w:val="22"/>
        </w:rPr>
        <w:t xml:space="preserve">Entraxe 80 mm</w:t>
      </w:r>
    </w:p>
    <w:p>
      <w:pPr/>
      <w:r>
        <w:rPr>
          <w:rFonts w:ascii="Calibri" w:hAnsi="Calibri" w:eastAsia="Calibri" w:cs="Calibri"/>
          <w:sz w:val="22"/>
          <w:szCs w:val="22"/>
        </w:rPr>
        <w:t xml:space="preserve">Tête à clapet Long-Life, M1/2"</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D2480</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Mélangeur de douche chromé avec têtes à clapet Long-Life.</w:t>
      </w:r>
    </w:p>
    <w:p>
      <w:pPr>
        <w:spacing w:line="288" w:lineRule="auto"/>
      </w:pPr>
      <w:r>
        <w:rPr>
          <w:rFonts w:ascii="Calibri" w:hAnsi="Calibri" w:eastAsia="Calibri" w:cs="Calibri"/>
          <w:sz w:val="22"/>
          <w:szCs w:val="22"/>
        </w:rPr>
        <w:t xml:space="preserve">Croisillons DELTA chromés.</w:t>
      </w:r>
    </w:p>
    <w:p>
      <w:pPr>
        <w:spacing w:line="288" w:lineRule="auto"/>
      </w:pPr>
      <w:r>
        <w:rPr>
          <w:rFonts w:ascii="Calibri" w:hAnsi="Calibri" w:eastAsia="Calibri" w:cs="Calibri"/>
          <w:sz w:val="22"/>
          <w:szCs w:val="22"/>
        </w:rPr>
        <w:t xml:space="preserve">Pour "Echange-standard".</w:t>
      </w:r>
    </w:p>
    <w:p>
      <w:pPr>
        <w:spacing w:line="288" w:lineRule="auto"/>
      </w:pPr>
      <w:r>
        <w:rPr>
          <w:rFonts w:ascii="Calibri" w:hAnsi="Calibri" w:eastAsia="Calibri" w:cs="Calibri"/>
          <w:sz w:val="22"/>
          <w:szCs w:val="22"/>
        </w:rPr>
        <w:t xml:space="preserve">Corps en laiton chromé.</w:t>
      </w:r>
    </w:p>
    <w:p>
      <w:pPr>
        <w:spacing w:line="288" w:lineRule="auto"/>
      </w:pPr>
      <w:r>
        <w:rPr>
          <w:rFonts w:ascii="Calibri" w:hAnsi="Calibri" w:eastAsia="Calibri" w:cs="Calibri"/>
          <w:sz w:val="22"/>
          <w:szCs w:val="22"/>
        </w:rPr>
        <w:t xml:space="preserve">M1/2", entraxe 80 mm.</w:t>
      </w:r>
    </w:p>
    <w:p>
      <w:pPr>
        <w:spacing w:line="288" w:lineRule="auto"/>
      </w:pPr>
      <w:r>
        <w:rPr>
          <w:rFonts w:ascii="Calibri" w:hAnsi="Calibri" w:eastAsia="Calibri" w:cs="Calibri"/>
          <w:sz w:val="22"/>
          <w:szCs w:val="22"/>
        </w:rPr>
        <w:t xml:space="preserve">Garantie 30 ans.En rénovation sanitaire, on constate que les anciennes installations ont été réalisées en divers entraxes, compris entre 60 et 120 mm selon les marques des robinetteries posées. Le mélangeur universel DELABIE s’adapte à l’entraxe existant. Il permet le remplacement d’un ancien mélangeur par échange standard, sans modification de l’installation.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2025-04-02T19:35:04+02:00</dcterms:created>
  <dcterms:modified xsi:type="dcterms:W3CDTF">2025-04-02T19:35:04+02:00</dcterms:modified>
</cp:coreProperties>
</file>

<file path=docProps/custom.xml><?xml version="1.0" encoding="utf-8"?>
<Properties xmlns="http://schemas.openxmlformats.org/officeDocument/2006/custom-properties" xmlns:vt="http://schemas.openxmlformats.org/officeDocument/2006/docPropsVTypes"/>
</file>