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Mélangeur de douche</w:t>
      </w:r>
    </w:p>
    <w:p>
      <w:pPr/>
      <w:r>
        <w:rPr>
          <w:rFonts w:ascii="Calibri" w:hAnsi="Calibri" w:eastAsia="Calibri" w:cs="Calibri"/>
          <w:sz w:val="22"/>
          <w:szCs w:val="22"/>
        </w:rPr>
        <w:t xml:space="preserve">Entraxe 100 mm</w:t>
      </w:r>
    </w:p>
    <w:p>
      <w:pPr/>
      <w:r>
        <w:rPr>
          <w:rFonts w:ascii="Calibri" w:hAnsi="Calibri" w:eastAsia="Calibri" w:cs="Calibri"/>
          <w:sz w:val="22"/>
          <w:szCs w:val="22"/>
        </w:rPr>
        <w:t xml:space="preserve">Tête à clapet Long-Life,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D2481</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Mélangeur de douche chromé avec têtes à clapet Long-Life.</w:t>
      </w:r>
    </w:p>
    <w:p>
      <w:pPr>
        <w:spacing w:line="288" w:lineRule="auto"/>
      </w:pPr>
      <w:r>
        <w:rPr>
          <w:rFonts w:ascii="Calibri" w:hAnsi="Calibri" w:eastAsia="Calibri" w:cs="Calibri"/>
          <w:sz w:val="22"/>
          <w:szCs w:val="22"/>
        </w:rPr>
        <w:t xml:space="preserve">Croisillons DELTA chromés.</w:t>
      </w:r>
    </w:p>
    <w:p>
      <w:pPr>
        <w:spacing w:line="288" w:lineRule="auto"/>
      </w:pPr>
      <w:r>
        <w:rPr>
          <w:rFonts w:ascii="Calibri" w:hAnsi="Calibri" w:eastAsia="Calibri" w:cs="Calibri"/>
          <w:sz w:val="22"/>
          <w:szCs w:val="22"/>
        </w:rPr>
        <w:t xml:space="preserve">Pour "Echange-standard".</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 entraxe 100 mm.</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120 mm selon les marques des robinetteries posées. Le mélangeur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2025-07-20T10:58:19+02:00</dcterms:created>
  <dcterms:modified xsi:type="dcterms:W3CDTF">2025-07-20T10:58:19+02:00</dcterms:modified>
</cp:coreProperties>
</file>

<file path=docProps/custom.xml><?xml version="1.0" encoding="utf-8"?>
<Properties xmlns="http://schemas.openxmlformats.org/officeDocument/2006/custom-properties" xmlns:vt="http://schemas.openxmlformats.org/officeDocument/2006/docPropsVTypes"/>
</file>