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Pr/>
      <w:r>
        <w:rPr>
          <w:rFonts w:ascii="Calibri" w:hAnsi="Calibri" w:eastAsia="Calibri" w:cs="Calibri"/>
          <w:sz w:val="22"/>
          <w:szCs w:val="22"/>
          <w:b w:val="1"/>
          <w:bCs w:val="1"/>
        </w:rPr>
        <w:t xml:space="preserve">TEMPOFLUX 2 toiletkraan met directe spoeling</w:t>
      </w:r>
    </w:p>
    <w:p>
      <w:pPr/>
      <w:r>
        <w:rPr>
          <w:rFonts w:ascii="Calibri" w:hAnsi="Calibri" w:eastAsia="Calibri" w:cs="Calibri"/>
          <w:sz w:val="22"/>
          <w:szCs w:val="22"/>
        </w:rPr>
        <w:t xml:space="preserve">Zelfsluitende toiletkraan met directe spoeling</w:t>
      </w:r>
    </w:p>
    <w:p>
      <w:pPr/>
      <w:r>
        <w:rPr>
          <w:rFonts w:ascii="Calibri" w:hAnsi="Calibri" w:eastAsia="Calibri" w:cs="Calibri"/>
          <w:sz w:val="22"/>
          <w:szCs w:val="22"/>
        </w:rPr>
        <w:t xml:space="preserve">Inbouw</w:t>
      </w:r>
    </w:p>
    <w:p/>
    <w:p>
      <w:pPr/>
      <w:r>
        <w:rPr>
          <w:rFonts w:ascii="Calibri" w:hAnsi="Calibri" w:eastAsia="Calibri" w:cs="Calibri"/>
          <w:sz w:val="22"/>
          <w:szCs w:val="22"/>
        </w:rPr>
        <w:t xml:space="preserve">Referentie: </w:t>
      </w:r>
      <w:r>
        <w:rPr>
          <w:rFonts w:ascii="Calibri" w:hAnsi="Calibri" w:eastAsia="Calibri" w:cs="Calibri"/>
          <w:color w:val="0088bc"/>
          <w:sz w:val="22"/>
          <w:szCs w:val="22"/>
          <w:b w:val="1"/>
          <w:bCs w:val="1"/>
        </w:rPr>
        <w:t xml:space="preserve">762902</w:t>
      </w:r>
    </w:p>
    <w:p/>
    <w:p/>
    <w:p>
      <w:pPr>
        <w:spacing w:line="336" w:lineRule="auto"/>
      </w:pPr>
      <w:r>
        <w:rPr>
          <w:rFonts w:ascii="Calibri" w:hAnsi="Calibri" w:eastAsia="Calibri" w:cs="Calibri"/>
          <w:sz w:val="22"/>
          <w:szCs w:val="22"/>
          <w:u w:val="single"/>
        </w:rPr>
        <w:t xml:space="preserve"> Beschrijving voor bestektekst</w:t>
      </w:r>
    </w:p>
    <w:p/>
    <w:p>
      <w:pPr>
        <w:spacing w:line="288" w:lineRule="auto"/>
      </w:pPr>
      <w:r>
        <w:rPr>
          <w:rFonts w:ascii="Calibri" w:hAnsi="Calibri" w:eastAsia="Calibri" w:cs="Calibri"/>
          <w:sz w:val="22"/>
          <w:szCs w:val="22"/>
        </w:rPr>
        <w:t xml:space="preserve">Zelfsluitende kraan voor ingebouwde directe toiletspoeling:
</w:t>
      </w:r>
    </w:p>
    <w:p>
      <w:pPr>
        <w:spacing w:line="288" w:lineRule="auto"/>
      </w:pPr>
      <w:r>
        <w:rPr>
          <w:rFonts w:ascii="Calibri" w:hAnsi="Calibri" w:eastAsia="Calibri" w:cs="Calibri"/>
          <w:sz w:val="22"/>
          <w:szCs w:val="22"/>
        </w:rPr>
        <w:t xml:space="preserve">Rozet Ø 195 in verchroomd metaal. 
</w:t>
      </w:r>
    </w:p>
    <w:p>
      <w:pPr>
        <w:spacing w:line="288" w:lineRule="auto"/>
      </w:pPr>
      <w:r>
        <w:rPr>
          <w:rFonts w:ascii="Calibri" w:hAnsi="Calibri" w:eastAsia="Calibri" w:cs="Calibri"/>
          <w:sz w:val="22"/>
          <w:szCs w:val="22"/>
        </w:rPr>
        <w:t xml:space="preserve">Verborgen mechanische bevestiging van de rozet.
</w:t>
      </w:r>
    </w:p>
    <w:p>
      <w:pPr>
        <w:spacing w:line="288" w:lineRule="auto"/>
      </w:pPr>
      <w:r>
        <w:rPr>
          <w:rFonts w:ascii="Calibri" w:hAnsi="Calibri" w:eastAsia="Calibri" w:cs="Calibri"/>
          <w:sz w:val="22"/>
          <w:szCs w:val="22"/>
        </w:rPr>
        <w:t xml:space="preserve">Inbouwdoos met meerdere bevestigingsmogelijkheden. 
</w:t>
      </w:r>
    </w:p>
    <w:p>
      <w:pPr>
        <w:spacing w:line="288" w:lineRule="auto"/>
      </w:pPr>
      <w:r>
        <w:rPr>
          <w:rFonts w:ascii="Calibri" w:hAnsi="Calibri" w:eastAsia="Calibri" w:cs="Calibri"/>
          <w:sz w:val="22"/>
          <w:szCs w:val="22"/>
        </w:rPr>
        <w:t xml:space="preserve">Inbouwdiepte regelbaar van 0 tot 20 mm. 
</w:t>
      </w:r>
    </w:p>
    <w:p>
      <w:pPr>
        <w:spacing w:line="288" w:lineRule="auto"/>
      </w:pPr>
      <w:r>
        <w:rPr>
          <w:rFonts w:ascii="Calibri" w:hAnsi="Calibri" w:eastAsia="Calibri" w:cs="Calibri"/>
          <w:sz w:val="22"/>
          <w:szCs w:val="22"/>
        </w:rPr>
        <w:t xml:space="preserve">Dubbele bediening 3l/6l aanpasbaar naar 2l/4l. 
</w:t>
      </w:r>
    </w:p>
    <w:p>
      <w:pPr>
        <w:spacing w:line="288" w:lineRule="auto"/>
      </w:pPr>
      <w:r>
        <w:rPr>
          <w:rFonts w:ascii="Calibri" w:hAnsi="Calibri" w:eastAsia="Calibri" w:cs="Calibri"/>
          <w:sz w:val="22"/>
          <w:szCs w:val="22"/>
        </w:rPr>
        <w:t xml:space="preserve">Soepele bediening. 
</w:t>
      </w:r>
    </w:p>
    <w:p>
      <w:pPr>
        <w:spacing w:line="288" w:lineRule="auto"/>
      </w:pPr>
      <w:r>
        <w:rPr>
          <w:rFonts w:ascii="Calibri" w:hAnsi="Calibri" w:eastAsia="Calibri" w:cs="Calibri"/>
          <w:sz w:val="22"/>
          <w:szCs w:val="22"/>
        </w:rPr>
        <w:t xml:space="preserve">Ingebouwde luchtsnuiver. 
</w:t>
      </w:r>
    </w:p>
    <w:p>
      <w:pPr>
        <w:spacing w:line="288" w:lineRule="auto"/>
      </w:pPr>
      <w:r>
        <w:rPr>
          <w:rFonts w:ascii="Calibri" w:hAnsi="Calibri" w:eastAsia="Calibri" w:cs="Calibri"/>
          <w:sz w:val="22"/>
          <w:szCs w:val="22"/>
        </w:rPr>
        <w:t xml:space="preserve">Ingebouwde stopkraan en debiet/volume regeling. 
</w:t>
      </w:r>
    </w:p>
    <w:p>
      <w:pPr>
        <w:spacing w:line="288" w:lineRule="auto"/>
      </w:pPr>
      <w:r>
        <w:rPr>
          <w:rFonts w:ascii="Calibri" w:hAnsi="Calibri" w:eastAsia="Calibri" w:cs="Calibri"/>
          <w:sz w:val="22"/>
          <w:szCs w:val="22"/>
        </w:rPr>
        <w:t xml:space="preserve">Lichaam in massief messing. 
</w:t>
      </w:r>
    </w:p>
    <w:p>
      <w:pPr>
        <w:spacing w:line="288" w:lineRule="auto"/>
      </w:pPr>
      <w:r>
        <w:rPr>
          <w:rFonts w:ascii="Calibri" w:hAnsi="Calibri" w:eastAsia="Calibri" w:cs="Calibri"/>
          <w:sz w:val="22"/>
          <w:szCs w:val="22"/>
        </w:rPr>
        <w:t xml:space="preserve">Drukknop in verchroomd metaal. 
</w:t>
      </w:r>
    </w:p>
    <w:p>
      <w:pPr>
        <w:spacing w:line="288" w:lineRule="auto"/>
      </w:pPr>
      <w:r>
        <w:rPr>
          <w:rFonts w:ascii="Calibri" w:hAnsi="Calibri" w:eastAsia="Calibri" w:cs="Calibri"/>
          <w:sz w:val="22"/>
          <w:szCs w:val="22"/>
        </w:rPr>
        <w:t xml:space="preserve">Aansluiting in lijn M3/4". 
</w:t>
      </w:r>
    </w:p>
    <w:p>
      <w:pPr>
        <w:spacing w:line="288" w:lineRule="auto"/>
      </w:pPr>
      <w:r>
        <w:rPr>
          <w:rFonts w:ascii="Calibri" w:hAnsi="Calibri" w:eastAsia="Calibri" w:cs="Calibri"/>
          <w:sz w:val="22"/>
          <w:szCs w:val="22"/>
        </w:rPr>
        <w:t xml:space="preserve">Uitgang met dichting voor PVC buis Ø 26/32. 
</w:t>
      </w:r>
    </w:p>
    <w:p>
      <w:pPr>
        <w:spacing w:line="288" w:lineRule="auto"/>
      </w:pPr>
      <w:r>
        <w:rPr>
          <w:rFonts w:ascii="Calibri" w:hAnsi="Calibri" w:eastAsia="Calibri" w:cs="Calibri"/>
          <w:sz w:val="22"/>
          <w:szCs w:val="22"/>
        </w:rPr>
        <w:t xml:space="preserve">Geluidsniveau conform met NF EN 12541 klasse II. 
</w:t>
      </w:r>
    </w:p>
    <w:p>
      <w:pPr>
        <w:spacing w:line="288" w:lineRule="auto"/>
      </w:pPr>
      <w:r>
        <w:rPr>
          <w:rFonts w:ascii="Calibri" w:hAnsi="Calibri" w:eastAsia="Calibri" w:cs="Calibri"/>
          <w:sz w:val="22"/>
          <w:szCs w:val="22"/>
        </w:rPr>
        <w:t xml:space="preserve">Toevoerdiameter: minimum binnen Ø 20 mm.
</w:t>
      </w:r>
    </w:p>
    <w:p>
      <w:pPr>
        <w:spacing w:line="288" w:lineRule="auto"/>
      </w:pPr>
      <w:r>
        <w:rPr>
          <w:rFonts w:ascii="Calibri" w:hAnsi="Calibri" w:eastAsia="Calibri" w:cs="Calibri"/>
          <w:sz w:val="22"/>
          <w:szCs w:val="22"/>
        </w:rPr>
        <w:t xml:space="preserve">Basisdebiet: 1 l/sec bij 1 dynamische bar. 
</w:t>
      </w:r>
    </w:p>
    <w:p>
      <w:pPr>
        <w:spacing w:line="288" w:lineRule="auto"/>
      </w:pPr>
      <w:r>
        <w:rPr>
          <w:rFonts w:ascii="Calibri" w:hAnsi="Calibri" w:eastAsia="Calibri" w:cs="Calibri"/>
          <w:sz w:val="22"/>
          <w:szCs w:val="22"/>
        </w:rPr>
        <w:t xml:space="preserve">Compatibel met regenwater.
</w:t>
      </w:r>
    </w:p>
    <w:p>
      <w:pPr>
        <w:spacing w:line="288" w:lineRule="auto"/>
      </w:pPr>
      <w:r>
        <w:rPr>
          <w:rFonts w:ascii="Calibri" w:hAnsi="Calibri" w:eastAsia="Calibri" w:cs="Calibri"/>
          <w:sz w:val="22"/>
          <w:szCs w:val="22"/>
        </w:rPr>
        <w:t xml:space="preserve">Geschikt voor toiletten zonder spoelrand, zonder debietregeling. 
</w:t>
      </w:r>
    </w:p>
    <w:p>
      <w:pPr>
        <w:spacing w:line="288" w:lineRule="auto"/>
      </w:pPr>
      <w:r>
        <w:rPr>
          <w:rFonts w:ascii="Calibri" w:hAnsi="Calibri" w:eastAsia="Calibri" w:cs="Calibri"/>
          <w:sz w:val="22"/>
          <w:szCs w:val="22"/>
        </w:rPr>
        <w:t xml:space="preserve">Geschikt voor personen met beperkte mobiliteit.
</w:t>
      </w:r>
    </w:p>
    <w:p>
      <w:pPr>
        <w:spacing w:line="288" w:lineRule="auto"/>
      </w:pPr>
      <w:r>
        <w:rPr>
          <w:rFonts w:ascii="Calibri" w:hAnsi="Calibri" w:eastAsia="Calibri" w:cs="Calibri"/>
          <w:sz w:val="22"/>
          <w:szCs w:val="22"/>
        </w:rPr>
        <w:t xml:space="preserve">30 jaar garantie. 
</w:t>
      </w:r>
    </w:p>
    <w:p>
      <w:pPr>
        <w:spacing w:line="288" w:lineRule="auto"/>
      </w:pPr>
      <w:r>
        <w:rPr>
          <w:rFonts w:ascii="Calibri" w:hAnsi="Calibri" w:eastAsia="Calibri" w:cs="Calibri"/>
          <w:sz w:val="22"/>
          <w:szCs w:val="22"/>
        </w:rPr>
        <w:t xml:space="preserve">
</w:t>
      </w:r>
    </w:p>
    <w:p>
      <w:pPr>
        <w:spacing w:line="288" w:lineRule="auto"/>
      </w:pPr>
      <w:r>
        <w:rPr>
          <w:rFonts w:ascii="Calibri" w:hAnsi="Calibri" w:eastAsia="Calibri" w:cs="Calibri"/>
          <w:sz w:val="22"/>
          <w:szCs w:val="22"/>
        </w:rPr>
        <w:t xml:space="preserve">Aangezien dit model niet is uitgerust met een waterdichte inbouwkast, dient de installateur de waterdichtheid van de inbouwruimte te verzekeren en er ook voor te zorgen dat bij condensatie of een eventueel lek het water uit de inbouwruimte kan weglopen (zie handleiding).</w:t>
      </w:r>
    </w:p>
    <w:sectPr>
      <w:headerReference w:type="default" r:id="rId7"/>
      <w:pgSz w:orient="portrait" w:w="11905.511811023622" w:h="16837.79527559055"/>
      <w:pgMar w:top="1200" w:right="1500" w:bottom="1000" w:left="14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pict>
        <v:shape type="#_x0000_t75" stroked="f" style="width:115pt; height:18.662280701754pt; margin-left:0pt; margin-top:0pt; mso-position-horizontal:left; mso-position-vertical:absolute; mso-position-horizontal-relative:char; mso-position-vertical-relative:line;">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pPr>
  </w:style>
  <w:style w:type="character" w:styleId="FootnoteReference">
    <w:name w:val="Footnote Reference"/>
    <w:semiHidden/>
    <w:unhideWhenUsed/>
    <w:rPr>
      <w:vertAlign w:val="superscript"/>
    </w:rPr>
  </w:style>
  <w:style w:type="paragraph" w:styleId="Heading1">
    <w:link w:val="Heading1Char"/>
    <w:name w:val="heading 1"/>
    <w:rPr>
      <w:color w:val="438fac"/>
      <w:sz w:val="36"/>
      <w:szCs w:val="36"/>
      <w:b w:val="1"/>
      <w:bCs w:val="1"/>
    </w:rPr>
  </w:style>
  <w:style w:type="paragraph" w:styleId="Heading2">
    <w:link w:val="Heading2Char"/>
    <w:name w:val="heading 2"/>
    <w:rPr>
      <w:color w:val="222222"/>
      <w:sz w:val="32"/>
      <w:szCs w:val="32"/>
      <w:b w:val="1"/>
      <w:bCs w:val="1"/>
    </w:rPr>
  </w:style>
  <w:style w:type="paragraph" w:styleId="Heading3">
    <w:link w:val="Heading3Char"/>
    <w:name w:val="heading 3"/>
    <w:rPr>
      <w:color w:val="222222"/>
      <w:sz w:val="28"/>
      <w:szCs w:val="28"/>
      <w:b w:val="0"/>
      <w:bCs w:val="0"/>
    </w:rPr>
  </w:style>
  <w:style w:type="paragraph" w:styleId="Heading4">
    <w:link w:val="Heading4Char"/>
    <w:name w:val="heading 4"/>
    <w:rPr>
      <w:color w:val="438fac"/>
      <w:sz w:val="26"/>
      <w:szCs w:val="26"/>
      <w:b w:val="1"/>
      <w:bCs w:val="1"/>
    </w:rPr>
  </w:style>
  <w:style w:type="paragraph" w:styleId="Heading5">
    <w:link w:val="Heading5Char"/>
    <w:name w:val="heading 5"/>
    <w:rPr>
      <w:color w:val="111111"/>
      <w:sz w:val="40"/>
      <w:szCs w:val="40"/>
      <w:b w:val="1"/>
      <w:bCs w:val="1"/>
    </w:rPr>
  </w:style>
  <w:style w:type="table" w:customStyle="1" w:styleId="TechSheet">
    <w:name w:val="TechSheet"/>
    <w:uiPriority w:val="99"/>
    <w:tblPr>
      <w:tblW w:w="0" w:type="auto"/>
      <w:tblLayout w:type="autofit"/>
      <w:bidiVisual w:val="0"/>
      <w:tblBorders>
        <w:top w:val="single" w:sz="0" w:color="ffffff"/>
        <w:left w:val="single" w:sz="0" w:color="ffffff"/>
        <w:right w:val="single" w:sz="0" w:color="ffffff"/>
        <w:bottom w:val="single" w:sz="1" w:color="999999"/>
      </w:tblBorders>
    </w:tblPr>
  </w:style>
  <w:style w:type="paragraph" w:customStyle="1" w:styleId="pStyle">
    <w:name w:val="pStyle"/>
    <w:basedOn w:val="Normal"/>
    <w:pPr>
      <w:spacing w:line="3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2026-08-26T15:20:20+02:00</dcterms:created>
  <dcterms:modified xsi:type="dcterms:W3CDTF">2026-08-26T15:20:20+02:00</dcterms:modified>
</cp:coreProperties>
</file>

<file path=docProps/custom.xml><?xml version="1.0" encoding="utf-8"?>
<Properties xmlns="http://schemas.openxmlformats.org/officeDocument/2006/custom-properties" xmlns:vt="http://schemas.openxmlformats.org/officeDocument/2006/docPropsVTypes"/>
</file>