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douchemengkraan</w:t>
      </w:r>
    </w:p>
    <w:p>
      <w:pPr/>
      <w:r>
        <w:rPr>
          <w:rFonts w:ascii="Calibri" w:hAnsi="Calibri" w:eastAsia="Calibri" w:cs="Calibri"/>
          <w:sz w:val="22"/>
          <w:szCs w:val="22"/>
        </w:rPr>
        <w:t xml:space="preserve">Regelbare asafstand tussen 60 en 80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2308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60 en 80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2026-04-03T08:35:14+02:00</dcterms:created>
  <dcterms:modified xsi:type="dcterms:W3CDTF">2026-04-03T08:35:14+02:00</dcterms:modified>
</cp:coreProperties>
</file>

<file path=docProps/custom.xml><?xml version="1.0" encoding="utf-8"?>
<Properties xmlns="http://schemas.openxmlformats.org/officeDocument/2006/custom-properties" xmlns:vt="http://schemas.openxmlformats.org/officeDocument/2006/docPropsVTypes"/>
</file>