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bad-douchemengkraan</w:t>
      </w:r>
    </w:p>
    <w:p>
      <w:pPr/>
      <w:r>
        <w:rPr>
          <w:rFonts w:ascii="Calibri" w:hAnsi="Calibri" w:eastAsia="Calibri" w:cs="Calibri"/>
          <w:sz w:val="22"/>
          <w:szCs w:val="22"/>
        </w:rPr>
        <w:t xml:space="preserve">Regelbare asafstand tussen 60 en 80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2508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bad-douchemengkraan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60 en 80 mm. 
</w:t>
      </w:r>
    </w:p>
    <w:p>
      <w:pPr>
        <w:spacing w:line="288" w:lineRule="auto"/>
      </w:pPr>
      <w:r>
        <w:rPr>
          <w:rFonts w:ascii="Calibri" w:hAnsi="Calibri" w:eastAsia="Calibri" w:cs="Calibri"/>
          <w:sz w:val="22"/>
          <w:szCs w:val="22"/>
        </w:rPr>
        <w:t xml:space="preserve">Kalkwerende perlator. 
</w:t>
      </w:r>
    </w:p>
    <w:p>
      <w:pPr>
        <w:spacing w:line="288" w:lineRule="auto"/>
      </w:pPr>
      <w:r>
        <w:rPr>
          <w:rFonts w:ascii="Calibri" w:hAnsi="Calibri" w:eastAsia="Calibri" w:cs="Calibri"/>
          <w:sz w:val="22"/>
          <w:szCs w:val="22"/>
        </w:rPr>
        <w:t xml:space="preserve">Automatische omsteller. De gevruiker kan de omsteller in douchestand blokkeren: de kraan blijft in douchestand staan zelfs bij een laag debiet (bij installatie met een doorstroomtoestel of bij een oudere installatie).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2025-02-12T14:39:04+01:00</dcterms:created>
  <dcterms:modified xsi:type="dcterms:W3CDTF">2025-02-12T14:39:04+01:00</dcterms:modified>
</cp:coreProperties>
</file>

<file path=docProps/custom.xml><?xml version="1.0" encoding="utf-8"?>
<Properties xmlns="http://schemas.openxmlformats.org/officeDocument/2006/custom-properties" xmlns:vt="http://schemas.openxmlformats.org/officeDocument/2006/docPropsVTypes"/>
</file>